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高校后勤管理工作专项检查表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tbl>
      <w:tblPr>
        <w:tblStyle w:val="5"/>
        <w:tblW w:w="13299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080"/>
        <w:gridCol w:w="6049"/>
        <w:gridCol w:w="1515"/>
        <w:gridCol w:w="1374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righ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righ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食堂管理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建立学校食堂食品安全责任制，明确校长为学校食品安全工作第一责任人，明确相关机构及负责人食品安全责任，与相关责任人签订食品安全责任书。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righ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按照《广东省学校食堂食品安全管理档案建立规范工作指引》建立相关制度，规范加工制作行为，留存相关执行记录。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righ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实行大宗食品公开招标、集中定点采购制度，签订采购合同时，明确供货者食品安全责任和义务。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righ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引入社会力量承包或者委托经营学校食堂的，以招投标等方式公开选择餐饮管理单位，并依法签订合同，明确双方在食品安全与营养健康方面的权利和义务，建立准入和退出机制。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□是□否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□合理缺项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学校合理分担学生食堂学校编制内人员的工资经费，学校未从学生食堂盈利。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righ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学生食堂建筑由学校提供，对服务实体实行零租赁，免收管理费。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□是□否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□合理缺项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righ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学生食堂的大型维修改造、大型餐饮设备配置和更新、空调、电梯等大型配套服务设施投入和运行费用由学校承担。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righ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物资采购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学校制定本校物资采购管理办法情况。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righ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除食材外的其余大宗物资采购程序、手续等的合规性。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国有资产管理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学校制定本校国有资产对外出租出借管理办法情况。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righ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出租出借国有房产物业为师生提供超市、理发、邮政、饮水、银行等生活配套服务项目的合规性（是否充分论证集体决策，是否手续齐全，是否在系统按权限审批，租金是否公允，租金是否按规定上缴国库纳入预算管理，疫情期间租金是否按规定办理减免）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righ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其他管理服务情况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选定第三方服务企业为学校提供绿化、环境卫生管理、宿舍服务等物业服务项目的合规性（是否充分论证集体决策，是否手续齐全，管理费用是否合理）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，宿舍费、水电费等收费标准、流程的合规性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righ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巡视巡察审计通报食堂管理、物资采购、房产物业出租、物业管理服务等方面问题整改情况。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□是□否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□合理缺项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sectPr>
          <w:pgSz w:w="16838" w:h="11906" w:orient="landscape"/>
          <w:pgMar w:top="1587" w:right="2098" w:bottom="1474" w:left="1984" w:header="851" w:footer="1587" w:gutter="0"/>
          <w:pgNumType w:fmt="decimal"/>
          <w:cols w:space="720" w:num="1"/>
          <w:rtlGutter w:val="0"/>
          <w:docGrid w:type="lines" w:linePitch="327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MTQ3NDJhNWNiODIwNmEzNDZhZWI1ZjgzYjEzNmYifQ=="/>
  </w:docVars>
  <w:rsids>
    <w:rsidRoot w:val="3FEF6AF9"/>
    <w:rsid w:val="3FEF6AF9"/>
    <w:rsid w:val="7C48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firstLine="630"/>
    </w:pPr>
    <w:rPr>
      <w:rFonts w:ascii="黑体" w:hAnsi="黑体" w:eastAsia="黑体" w:cs="Times New Roman"/>
      <w:sz w:val="21"/>
      <w:szCs w:val="24"/>
    </w:rPr>
  </w:style>
  <w:style w:type="paragraph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Cs w:val="24"/>
      <w:lang w:bidi="ar-SA"/>
    </w:rPr>
  </w:style>
  <w:style w:type="paragraph" w:styleId="4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801</Words>
  <Characters>805</Characters>
  <Lines>0</Lines>
  <Paragraphs>0</Paragraphs>
  <TotalTime>0</TotalTime>
  <ScaleCrop>false</ScaleCrop>
  <LinksUpToDate>false</LinksUpToDate>
  <CharactersWithSpaces>805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2023-04-21T08:01:00Z</dcterms:created>
  <dc:creator>正冬夏</dc:creator>
  <cp:lastModifiedBy>Mr.D</cp:lastModifiedBy>
  <dcterms:modified xsi:type="dcterms:W3CDTF">2023-04-26T02:53:52Z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889203ACFFEA4EB095E9045F2E089F28_11</vt:lpwstr>
  </property>
</Properties>
</file>